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28D" w:rsidRPr="00F264A9" w:rsidRDefault="00B7028D" w:rsidP="00B7028D">
      <w:pPr>
        <w:pStyle w:val="Heading1"/>
        <w:rPr>
          <w:rFonts w:ascii="Bahnschrift" w:hAnsi="Bahnschrift" w:cs="Arial"/>
          <w:color w:val="808080" w:themeColor="background1" w:themeShade="80"/>
          <w:sz w:val="32"/>
          <w:szCs w:val="24"/>
        </w:rPr>
      </w:pPr>
      <w:r w:rsidRPr="00F264A9">
        <w:rPr>
          <w:rFonts w:ascii="Bahnschrift" w:hAnsi="Bahnschrift"/>
          <w:color w:val="808080" w:themeColor="background1" w:themeShade="80"/>
          <w:sz w:val="32"/>
        </w:rPr>
        <w:t xml:space="preserve">Success Center Study Strategies:  </w:t>
      </w:r>
      <w:r w:rsidRPr="00F264A9">
        <w:rPr>
          <w:rFonts w:ascii="Bahnschrift" w:hAnsi="Bahnschrift"/>
          <w:color w:val="262626" w:themeColor="text1" w:themeTint="D9"/>
          <w:sz w:val="32"/>
          <w:szCs w:val="24"/>
        </w:rPr>
        <w:t xml:space="preserve">Write to Learn </w:t>
      </w:r>
    </w:p>
    <w:p w:rsidR="00B7028D" w:rsidRDefault="00B7028D" w:rsidP="00B7028D">
      <w:pPr>
        <w:widowControl w:val="0"/>
        <w:spacing w:before="20" w:after="20" w:line="360" w:lineRule="auto"/>
        <w:ind w:left="288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 </w:t>
      </w:r>
    </w:p>
    <w:p w:rsidR="00B7028D" w:rsidRDefault="00B7028D" w:rsidP="00B7028D">
      <w:pPr>
        <w:widowControl w:val="0"/>
        <w:spacing w:before="20" w:after="20" w:line="360" w:lineRule="auto"/>
        <w:ind w:left="28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Writing to learn is a strategy for building understanding of new information by thinking more deeply about a concept.  Rather than copying information word for word, when you </w:t>
      </w:r>
      <w:r>
        <w:rPr>
          <w:b/>
          <w:bCs/>
          <w:sz w:val="24"/>
          <w:szCs w:val="24"/>
        </w:rPr>
        <w:t>write to learn</w:t>
      </w:r>
      <w:bookmarkStart w:id="0" w:name="_GoBack"/>
      <w:bookmarkEnd w:id="0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you are keeping a record or log of your observations, ideas, opinions, and predictions about a topic. Writing to learn can be used when you’re studying on your own, or during a class lecture.  This strategy requires reflecting on the material.  Although it is informal writing, ideas should be clear and logically composed </w:t>
      </w:r>
    </w:p>
    <w:p w:rsidR="00B7028D" w:rsidRPr="00E97CDB" w:rsidRDefault="00B7028D" w:rsidP="00B7028D">
      <w:pPr>
        <w:pStyle w:val="Heading2"/>
        <w:rPr>
          <w:sz w:val="24"/>
        </w:rPr>
      </w:pPr>
      <w:r w:rsidRPr="00E97CDB">
        <w:rPr>
          <w:sz w:val="24"/>
        </w:rPr>
        <w:t>Examples:</w:t>
      </w:r>
    </w:p>
    <w:p w:rsidR="00B7028D" w:rsidRDefault="00B7028D" w:rsidP="00B7028D">
      <w:pPr>
        <w:widowControl w:val="0"/>
        <w:spacing w:before="60" w:after="60"/>
        <w:ind w:left="360" w:hanging="360"/>
        <w:rPr>
          <w:sz w:val="16"/>
          <w:szCs w:val="16"/>
        </w:rPr>
      </w:pPr>
      <w:r>
        <w:rPr>
          <w:rFonts w:ascii="Symbol" w:hAnsi="Symbol"/>
          <w:lang w:val="x-none"/>
        </w:rPr>
        <w:t></w:t>
      </w:r>
      <w:r>
        <w:t> </w:t>
      </w:r>
      <w:r>
        <w:rPr>
          <w:sz w:val="24"/>
          <w:szCs w:val="24"/>
        </w:rPr>
        <w:t xml:space="preserve">Summarize a section from your textbook or class lecture in your own words.  Elaborate and connect the information to other experiences. </w:t>
      </w:r>
    </w:p>
    <w:p w:rsidR="00B7028D" w:rsidRDefault="00B7028D" w:rsidP="00B7028D">
      <w:pPr>
        <w:widowControl w:val="0"/>
        <w:spacing w:before="60" w:after="60"/>
        <w:ind w:left="360" w:hanging="360"/>
        <w:rPr>
          <w:sz w:val="16"/>
          <w:szCs w:val="16"/>
        </w:rPr>
      </w:pPr>
      <w:r>
        <w:rPr>
          <w:rFonts w:ascii="Symbol" w:hAnsi="Symbol"/>
          <w:lang w:val="x-none"/>
        </w:rPr>
        <w:t></w:t>
      </w:r>
      <w:r>
        <w:t> </w:t>
      </w:r>
      <w:r>
        <w:rPr>
          <w:sz w:val="24"/>
          <w:szCs w:val="24"/>
        </w:rPr>
        <w:t xml:space="preserve">List what you notice about the topic.  This could include descriptions, definitions, and significant details.  Are there patterns in what you notice? Also, what contradictions or surprises do you notice? </w:t>
      </w:r>
    </w:p>
    <w:p w:rsidR="00E97CDB" w:rsidRPr="00E97CDB" w:rsidRDefault="00B7028D" w:rsidP="00E97CDB">
      <w:pPr>
        <w:widowControl w:val="0"/>
        <w:spacing w:before="60" w:after="60"/>
        <w:ind w:left="360" w:hanging="360"/>
        <w:rPr>
          <w:sz w:val="24"/>
          <w:szCs w:val="24"/>
        </w:rPr>
      </w:pPr>
      <w:r>
        <w:rPr>
          <w:rFonts w:ascii="Symbol" w:hAnsi="Symbol"/>
          <w:lang w:val="x-none"/>
        </w:rPr>
        <w:t></w:t>
      </w:r>
      <w:r>
        <w:t> </w:t>
      </w:r>
      <w:r>
        <w:rPr>
          <w:sz w:val="24"/>
          <w:szCs w:val="24"/>
        </w:rPr>
        <w:t>Write questions you have, propose applications of this material, and/or, make predictions</w:t>
      </w:r>
    </w:p>
    <w:p w:rsidR="00E97CDB" w:rsidRPr="00E97CDB" w:rsidRDefault="00E97CDB" w:rsidP="00E97CDB">
      <w:pPr>
        <w:widowControl w:val="0"/>
        <w:spacing w:before="60" w:after="60"/>
        <w:ind w:left="360" w:hanging="360"/>
        <w:rPr>
          <w:sz w:val="32"/>
          <w:szCs w:val="24"/>
        </w:rPr>
      </w:pPr>
      <w:r>
        <w:rPr>
          <w:rFonts w:ascii="Symbol" w:hAnsi="Symbol"/>
          <w:lang w:val="x-none"/>
        </w:rPr>
        <w:t></w:t>
      </w:r>
      <w:r w:rsidRPr="00E97CDB">
        <w:rPr>
          <w:sz w:val="24"/>
        </w:rPr>
        <w:t xml:space="preserve"> When describing an operation or procedure, create a flowchart to show sequence of events or steps.  Include if/then scenarios when appropriate.</w:t>
      </w:r>
    </w:p>
    <w:p w:rsidR="00B7028D" w:rsidRDefault="00B7028D" w:rsidP="00B7028D">
      <w:pPr>
        <w:widowControl w:val="0"/>
        <w:spacing w:before="60" w:after="60"/>
        <w:ind w:left="360" w:hanging="360"/>
        <w:rPr>
          <w:sz w:val="24"/>
          <w:szCs w:val="24"/>
        </w:rPr>
      </w:pPr>
      <w:r>
        <w:rPr>
          <w:rFonts w:ascii="Symbol" w:hAnsi="Symbol"/>
          <w:lang w:val="x-none"/>
        </w:rPr>
        <w:t></w:t>
      </w:r>
      <w:r>
        <w:t> </w:t>
      </w:r>
      <w:r>
        <w:rPr>
          <w:sz w:val="24"/>
          <w:szCs w:val="24"/>
        </w:rPr>
        <w:t xml:space="preserve">Choose terms to guide your reflection or summary such as:  </w:t>
      </w:r>
    </w:p>
    <w:p w:rsidR="00B7028D" w:rsidRDefault="00B7028D" w:rsidP="00B7028D">
      <w:pPr>
        <w:widowControl w:val="0"/>
        <w:spacing w:before="120" w:line="300" w:lineRule="auto"/>
        <w:ind w:left="533" w:hanging="267"/>
        <w:rPr>
          <w:sz w:val="24"/>
          <w:szCs w:val="24"/>
        </w:rPr>
      </w:pPr>
      <w:r>
        <w:rPr>
          <w:rFonts w:ascii="Symbol" w:hAnsi="Symbol"/>
          <w:lang w:val="x-none"/>
        </w:rPr>
        <w:t></w:t>
      </w:r>
      <w:r>
        <w:t> </w:t>
      </w:r>
      <w:r>
        <w:rPr>
          <w:i/>
          <w:iCs/>
          <w:sz w:val="24"/>
          <w:szCs w:val="24"/>
        </w:rPr>
        <w:t xml:space="preserve">diagram, differentiate, categorize, </w:t>
      </w:r>
      <w:r>
        <w:rPr>
          <w:sz w:val="24"/>
          <w:szCs w:val="24"/>
        </w:rPr>
        <w:t xml:space="preserve">or </w:t>
      </w:r>
      <w:r>
        <w:rPr>
          <w:i/>
          <w:iCs/>
          <w:sz w:val="24"/>
          <w:szCs w:val="24"/>
        </w:rPr>
        <w:t>classify</w:t>
      </w:r>
    </w:p>
    <w:p w:rsidR="00B7028D" w:rsidRDefault="00B7028D" w:rsidP="00B7028D">
      <w:pPr>
        <w:widowControl w:val="0"/>
        <w:spacing w:before="120" w:line="300" w:lineRule="auto"/>
        <w:ind w:left="533" w:hanging="267"/>
        <w:rPr>
          <w:i/>
          <w:iCs/>
          <w:sz w:val="24"/>
          <w:szCs w:val="24"/>
        </w:rPr>
      </w:pPr>
      <w:r>
        <w:rPr>
          <w:rFonts w:ascii="Symbol" w:hAnsi="Symbol"/>
          <w:lang w:val="x-none"/>
        </w:rPr>
        <w:t></w:t>
      </w:r>
      <w:r>
        <w:t> </w:t>
      </w:r>
      <w:r>
        <w:rPr>
          <w:i/>
          <w:iCs/>
          <w:sz w:val="24"/>
          <w:szCs w:val="24"/>
        </w:rPr>
        <w:t xml:space="preserve">explain/teach, compare/contrast, </w:t>
      </w:r>
    </w:p>
    <w:p w:rsidR="00B7028D" w:rsidRDefault="00B7028D" w:rsidP="00B7028D">
      <w:pPr>
        <w:widowControl w:val="0"/>
        <w:spacing w:before="120" w:line="300" w:lineRule="auto"/>
        <w:ind w:left="533" w:hanging="267"/>
        <w:rPr>
          <w:sz w:val="24"/>
          <w:szCs w:val="24"/>
        </w:rPr>
      </w:pPr>
      <w:r>
        <w:rPr>
          <w:rFonts w:ascii="Symbol" w:hAnsi="Symbol"/>
          <w:lang w:val="x-none"/>
        </w:rPr>
        <w:t></w:t>
      </w:r>
      <w:r>
        <w:t> </w:t>
      </w:r>
      <w:r>
        <w:rPr>
          <w:i/>
          <w:iCs/>
          <w:sz w:val="24"/>
          <w:szCs w:val="24"/>
        </w:rPr>
        <w:t>suggest, revise, reorganize</w:t>
      </w:r>
    </w:p>
    <w:p w:rsidR="00B7028D" w:rsidRDefault="00B7028D" w:rsidP="00B7028D">
      <w:pPr>
        <w:widowControl w:val="0"/>
        <w:spacing w:before="120" w:line="300" w:lineRule="auto"/>
        <w:ind w:left="533" w:hanging="267"/>
        <w:rPr>
          <w:sz w:val="24"/>
          <w:szCs w:val="24"/>
        </w:rPr>
      </w:pPr>
      <w:r>
        <w:rPr>
          <w:rFonts w:ascii="Symbol" w:hAnsi="Symbol"/>
          <w:lang w:val="x-none"/>
        </w:rPr>
        <w:t></w:t>
      </w:r>
      <w:r>
        <w:t> </w:t>
      </w:r>
      <w:r>
        <w:rPr>
          <w:i/>
          <w:iCs/>
          <w:sz w:val="24"/>
          <w:szCs w:val="24"/>
        </w:rPr>
        <w:t>predict, infer</w:t>
      </w:r>
    </w:p>
    <w:p w:rsidR="00B7028D" w:rsidRDefault="00B7028D" w:rsidP="00B7028D">
      <w:pPr>
        <w:widowControl w:val="0"/>
        <w:spacing w:before="120" w:line="300" w:lineRule="auto"/>
        <w:ind w:left="533" w:hanging="267"/>
        <w:rPr>
          <w:i/>
          <w:iCs/>
          <w:sz w:val="24"/>
          <w:szCs w:val="24"/>
        </w:rPr>
      </w:pPr>
      <w:r>
        <w:rPr>
          <w:rFonts w:ascii="Symbol" w:hAnsi="Symbol"/>
          <w:lang w:val="x-none"/>
        </w:rPr>
        <w:t></w:t>
      </w:r>
      <w:r>
        <w:t> </w:t>
      </w:r>
      <w:r>
        <w:rPr>
          <w:i/>
          <w:iCs/>
          <w:sz w:val="24"/>
          <w:szCs w:val="24"/>
        </w:rPr>
        <w:t xml:space="preserve">judge, rank, </w:t>
      </w:r>
      <w:r>
        <w:rPr>
          <w:sz w:val="24"/>
          <w:szCs w:val="24"/>
        </w:rPr>
        <w:t>or</w:t>
      </w:r>
      <w:r>
        <w:rPr>
          <w:i/>
          <w:iCs/>
          <w:sz w:val="24"/>
          <w:szCs w:val="24"/>
        </w:rPr>
        <w:t xml:space="preserve"> evaluate</w:t>
      </w:r>
    </w:p>
    <w:p w:rsidR="00B7028D" w:rsidRPr="00E97CDB" w:rsidRDefault="00B7028D" w:rsidP="00E97CDB">
      <w:pPr>
        <w:widowControl w:val="0"/>
        <w:spacing w:before="120" w:line="300" w:lineRule="auto"/>
        <w:ind w:left="533" w:hanging="267"/>
        <w:rPr>
          <w:i/>
          <w:iCs/>
          <w:sz w:val="24"/>
          <w:szCs w:val="24"/>
        </w:rPr>
      </w:pPr>
      <w:r>
        <w:rPr>
          <w:rFonts w:ascii="Symbol" w:hAnsi="Symbol"/>
          <w:lang w:val="x-none"/>
        </w:rPr>
        <w:t></w:t>
      </w:r>
      <w:r>
        <w:t> </w:t>
      </w:r>
      <w:r>
        <w:rPr>
          <w:i/>
          <w:iCs/>
          <w:sz w:val="24"/>
          <w:szCs w:val="24"/>
        </w:rPr>
        <w:t>form an opinion, support your position</w:t>
      </w:r>
    </w:p>
    <w:p w:rsidR="00E97CDB" w:rsidRDefault="00E97CDB" w:rsidP="00B7028D">
      <w:pPr>
        <w:widowControl w:val="0"/>
        <w:spacing w:after="0" w:line="360" w:lineRule="auto"/>
        <w:rPr>
          <w:sz w:val="18"/>
          <w:szCs w:val="18"/>
        </w:rPr>
      </w:pPr>
    </w:p>
    <w:p w:rsidR="00B7028D" w:rsidRDefault="00B7028D" w:rsidP="00B7028D">
      <w:pPr>
        <w:widowControl w:val="0"/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Sources:</w:t>
      </w:r>
    </w:p>
    <w:p w:rsidR="00B7028D" w:rsidRDefault="00B7028D" w:rsidP="00E97CDB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Brown, et al. </w:t>
      </w:r>
      <w:r>
        <w:rPr>
          <w:i/>
          <w:iCs/>
          <w:sz w:val="18"/>
          <w:szCs w:val="18"/>
        </w:rPr>
        <w:t>Make it Stick: The Science of Successful Learning.</w:t>
      </w:r>
      <w:r>
        <w:rPr>
          <w:sz w:val="18"/>
          <w:szCs w:val="18"/>
        </w:rPr>
        <w:t xml:space="preserve"> Cambridge: The Belknap Press of Harvard University Press, 2014. </w:t>
      </w:r>
    </w:p>
    <w:p w:rsidR="00994F44" w:rsidRPr="00E97CDB" w:rsidRDefault="00B7028D" w:rsidP="00E97CDB">
      <w:pPr>
        <w:widowControl w:val="0"/>
        <w:spacing w:before="0" w:after="0"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Mind-map notetaking jpg. www.litemind.com/wp-content/uploads/2007/08/creative-intelligence-mindmap.jpg.  Accessed 15 May 2017.</w:t>
      </w:r>
    </w:p>
    <w:sectPr w:rsidR="00994F44" w:rsidRPr="00E97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A9F48C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8D"/>
    <w:rsid w:val="0002702C"/>
    <w:rsid w:val="00084352"/>
    <w:rsid w:val="000D4306"/>
    <w:rsid w:val="003318A5"/>
    <w:rsid w:val="00B7028D"/>
    <w:rsid w:val="00C049B0"/>
    <w:rsid w:val="00CE0C9B"/>
    <w:rsid w:val="00E97CDB"/>
    <w:rsid w:val="00F2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8ECCE-949F-4960-97A6-22C2744C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28D"/>
  </w:style>
  <w:style w:type="paragraph" w:styleId="Heading1">
    <w:name w:val="heading 1"/>
    <w:basedOn w:val="Normal"/>
    <w:next w:val="Normal"/>
    <w:link w:val="Heading1Char"/>
    <w:uiPriority w:val="9"/>
    <w:qFormat/>
    <w:rsid w:val="00B7028D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8D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28D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28D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28D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28D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28D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28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28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28D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028D"/>
    <w:rPr>
      <w:caps/>
      <w:spacing w:val="15"/>
      <w:shd w:val="clear" w:color="auto" w:fill="FFF4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7028D"/>
    <w:rPr>
      <w:caps/>
      <w:color w:val="8266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28D"/>
    <w:rPr>
      <w:caps/>
      <w:color w:val="C49A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28D"/>
    <w:rPr>
      <w:caps/>
      <w:color w:val="C49A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28D"/>
    <w:rPr>
      <w:caps/>
      <w:color w:val="C49A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28D"/>
    <w:rPr>
      <w:caps/>
      <w:color w:val="C49A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28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28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028D"/>
    <w:rPr>
      <w:b/>
      <w:bCs/>
      <w:color w:val="C49A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7028D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028D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28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7028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7028D"/>
    <w:rPr>
      <w:b/>
      <w:bCs/>
    </w:rPr>
  </w:style>
  <w:style w:type="character" w:styleId="Emphasis">
    <w:name w:val="Emphasis"/>
    <w:uiPriority w:val="20"/>
    <w:qFormat/>
    <w:rsid w:val="00B7028D"/>
    <w:rPr>
      <w:caps/>
      <w:color w:val="826600" w:themeColor="accent1" w:themeShade="7F"/>
      <w:spacing w:val="5"/>
    </w:rPr>
  </w:style>
  <w:style w:type="paragraph" w:styleId="NoSpacing">
    <w:name w:val="No Spacing"/>
    <w:uiPriority w:val="1"/>
    <w:qFormat/>
    <w:rsid w:val="00B7028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028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028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28D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28D"/>
    <w:rPr>
      <w:color w:val="FFCA08" w:themeColor="accent1"/>
      <w:sz w:val="24"/>
      <w:szCs w:val="24"/>
    </w:rPr>
  </w:style>
  <w:style w:type="character" w:styleId="SubtleEmphasis">
    <w:name w:val="Subtle Emphasis"/>
    <w:uiPriority w:val="19"/>
    <w:qFormat/>
    <w:rsid w:val="00B7028D"/>
    <w:rPr>
      <w:i/>
      <w:iCs/>
      <w:color w:val="826600" w:themeColor="accent1" w:themeShade="7F"/>
    </w:rPr>
  </w:style>
  <w:style w:type="character" w:styleId="IntenseEmphasis">
    <w:name w:val="Intense Emphasis"/>
    <w:uiPriority w:val="21"/>
    <w:qFormat/>
    <w:rsid w:val="00B7028D"/>
    <w:rPr>
      <w:b/>
      <w:bCs/>
      <w:caps/>
      <w:color w:val="826600" w:themeColor="accent1" w:themeShade="7F"/>
      <w:spacing w:val="10"/>
    </w:rPr>
  </w:style>
  <w:style w:type="character" w:styleId="SubtleReference">
    <w:name w:val="Subtle Reference"/>
    <w:uiPriority w:val="31"/>
    <w:qFormat/>
    <w:rsid w:val="00B7028D"/>
    <w:rPr>
      <w:b/>
      <w:bCs/>
      <w:color w:val="FFCA08" w:themeColor="accent1"/>
    </w:rPr>
  </w:style>
  <w:style w:type="character" w:styleId="IntenseReference">
    <w:name w:val="Intense Reference"/>
    <w:uiPriority w:val="32"/>
    <w:qFormat/>
    <w:rsid w:val="00B7028D"/>
    <w:rPr>
      <w:b/>
      <w:bCs/>
      <w:i/>
      <w:iCs/>
      <w:caps/>
      <w:color w:val="FFCA08" w:themeColor="accent1"/>
    </w:rPr>
  </w:style>
  <w:style w:type="character" w:styleId="BookTitle">
    <w:name w:val="Book Title"/>
    <w:uiPriority w:val="33"/>
    <w:qFormat/>
    <w:rsid w:val="00B7028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028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9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Cantonwine</dc:creator>
  <cp:keywords/>
  <dc:description/>
  <cp:lastModifiedBy>Cantonwine, Susan</cp:lastModifiedBy>
  <cp:revision>2</cp:revision>
  <dcterms:created xsi:type="dcterms:W3CDTF">2023-01-20T17:18:00Z</dcterms:created>
  <dcterms:modified xsi:type="dcterms:W3CDTF">2023-01-20T17:18:00Z</dcterms:modified>
</cp:coreProperties>
</file>